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6AD751" w14:textId="4A7AA901" w:rsidR="00AD2DFB" w:rsidRPr="00E67D8E" w:rsidRDefault="00AD2DFB" w:rsidP="00AD2DFB">
      <w:pPr>
        <w:pStyle w:val="Head"/>
        <w:rPr>
          <w:lang w:val="en-US"/>
        </w:rPr>
      </w:pPr>
      <w:r>
        <w:rPr>
          <w:lang w:val="fr-FR"/>
        </w:rPr>
        <w:t xml:space="preserve">Le Wirtgen Group convainc lors du salon </w:t>
      </w:r>
      <w:proofErr w:type="spellStart"/>
      <w:r>
        <w:rPr>
          <w:lang w:val="fr-FR"/>
        </w:rPr>
        <w:t>Intermat</w:t>
      </w:r>
      <w:proofErr w:type="spellEnd"/>
      <w:r>
        <w:rPr>
          <w:lang w:val="fr-FR"/>
        </w:rPr>
        <w:t xml:space="preserve"> 2024 avec des technologies respectueuses de l’environnement pour une construction routière durable</w:t>
      </w:r>
    </w:p>
    <w:p w14:paraId="773D070C" w14:textId="7E2778F2" w:rsidR="00AD2DFB" w:rsidRPr="00E67D8E" w:rsidRDefault="00AD2DFB" w:rsidP="00AD2DFB">
      <w:pPr>
        <w:pStyle w:val="Subhead"/>
        <w:rPr>
          <w:lang w:val="en-US"/>
        </w:rPr>
      </w:pPr>
      <w:r>
        <w:rPr>
          <w:bCs/>
          <w:iCs w:val="0"/>
          <w:lang w:val="fr-FR"/>
        </w:rPr>
        <w:t xml:space="preserve">Une devise pour le salon en région parisienne : </w:t>
      </w:r>
      <w:proofErr w:type="spellStart"/>
      <w:r>
        <w:rPr>
          <w:bCs/>
          <w:iCs w:val="0"/>
          <w:lang w:val="fr-FR"/>
        </w:rPr>
        <w:t>Smarter</w:t>
      </w:r>
      <w:proofErr w:type="spellEnd"/>
      <w:r>
        <w:rPr>
          <w:bCs/>
          <w:iCs w:val="0"/>
          <w:lang w:val="fr-FR"/>
        </w:rPr>
        <w:t xml:space="preserve">. </w:t>
      </w:r>
      <w:proofErr w:type="spellStart"/>
      <w:r>
        <w:rPr>
          <w:bCs/>
          <w:iCs w:val="0"/>
          <w:lang w:val="fr-FR"/>
        </w:rPr>
        <w:t>Safer</w:t>
      </w:r>
      <w:proofErr w:type="spellEnd"/>
      <w:r>
        <w:rPr>
          <w:bCs/>
          <w:iCs w:val="0"/>
          <w:lang w:val="fr-FR"/>
        </w:rPr>
        <w:t xml:space="preserve">. More </w:t>
      </w:r>
      <w:proofErr w:type="spellStart"/>
      <w:r>
        <w:rPr>
          <w:bCs/>
          <w:iCs w:val="0"/>
          <w:lang w:val="fr-FR"/>
        </w:rPr>
        <w:t>Sustainable</w:t>
      </w:r>
      <w:proofErr w:type="spellEnd"/>
      <w:r w:rsidR="00CA2E8D">
        <w:rPr>
          <w:bCs/>
          <w:iCs w:val="0"/>
          <w:lang w:val="fr-FR"/>
        </w:rPr>
        <w:t>.</w:t>
      </w:r>
    </w:p>
    <w:p w14:paraId="05172123" w14:textId="316DB393" w:rsidR="00AD2DFB" w:rsidRPr="00E67D8E" w:rsidRDefault="00175DD9" w:rsidP="00AD2DFB">
      <w:pPr>
        <w:pStyle w:val="Teaser"/>
        <w:rPr>
          <w:lang w:val="fr-FR"/>
        </w:rPr>
      </w:pPr>
      <w:r>
        <w:rPr>
          <w:bCs/>
          <w:lang w:val="fr-FR"/>
        </w:rPr>
        <w:t xml:space="preserve">Le Wirtgen Group tire un bilan positif à l’issue du salon </w:t>
      </w:r>
      <w:proofErr w:type="spellStart"/>
      <w:r>
        <w:rPr>
          <w:bCs/>
          <w:lang w:val="fr-FR"/>
        </w:rPr>
        <w:t>Intermat</w:t>
      </w:r>
      <w:proofErr w:type="spellEnd"/>
      <w:r>
        <w:rPr>
          <w:bCs/>
          <w:lang w:val="fr-FR"/>
        </w:rPr>
        <w:t xml:space="preserve">. Les visiteurs professionnels présents en nombre sur le stand de 717,5 m² ont pu s’informer auprès des experts sur les technologies et techniques d’application à faibles émissions de Wirtgen, </w:t>
      </w:r>
      <w:proofErr w:type="spellStart"/>
      <w:r>
        <w:rPr>
          <w:bCs/>
          <w:lang w:val="fr-FR"/>
        </w:rPr>
        <w:t>Vögele</w:t>
      </w:r>
      <w:proofErr w:type="spellEnd"/>
      <w:r>
        <w:rPr>
          <w:bCs/>
          <w:lang w:val="fr-FR"/>
        </w:rPr>
        <w:t xml:space="preserve">, Hamm, Kleemann et </w:t>
      </w:r>
      <w:proofErr w:type="spellStart"/>
      <w:r>
        <w:rPr>
          <w:bCs/>
          <w:lang w:val="fr-FR"/>
        </w:rPr>
        <w:t>Benninghoven</w:t>
      </w:r>
      <w:proofErr w:type="spellEnd"/>
      <w:r>
        <w:rPr>
          <w:bCs/>
          <w:lang w:val="fr-FR"/>
        </w:rPr>
        <w:t>.</w:t>
      </w:r>
    </w:p>
    <w:p w14:paraId="021CD1D9" w14:textId="555C5B41" w:rsidR="00AD2DFB" w:rsidRPr="00E67D8E" w:rsidRDefault="00AD2DFB" w:rsidP="00D67428">
      <w:pPr>
        <w:pStyle w:val="Standardabsatz"/>
        <w:rPr>
          <w:lang w:val="fr-FR"/>
        </w:rPr>
      </w:pPr>
      <w:r>
        <w:rPr>
          <w:lang w:val="fr-FR"/>
        </w:rPr>
        <w:t>Le besoin fondamental pour une construction routière plus intelligente, plus sûre et plus durable ainsi que pour une production et un retraitement efficaces des matières premières est immense. La réduction des émissions de CO</w:t>
      </w:r>
      <w:r>
        <w:rPr>
          <w:vertAlign w:val="subscript"/>
          <w:lang w:val="fr-FR"/>
        </w:rPr>
        <w:t>2</w:t>
      </w:r>
      <w:r>
        <w:rPr>
          <w:lang w:val="fr-FR"/>
        </w:rPr>
        <w:t xml:space="preserve"> dans le secteur des travaux publics est d’ores et déjà réalisable. Le Wirtgen Group a montré la trajectoire à suivre pour la décarbonation avec ses puissantes technologies et son large éventail de solutions novatrices.</w:t>
      </w:r>
    </w:p>
    <w:p w14:paraId="2E8F9D80" w14:textId="722211B9" w:rsidR="00AD2DFB" w:rsidRPr="00E67D8E" w:rsidRDefault="00AD2DFB" w:rsidP="00AD2DFB">
      <w:pPr>
        <w:pStyle w:val="Standardabsatz"/>
        <w:rPr>
          <w:lang w:val="fr-FR"/>
        </w:rPr>
      </w:pPr>
      <w:r>
        <w:rPr>
          <w:lang w:val="fr-FR"/>
        </w:rPr>
        <w:t xml:space="preserve">Temps fort de l’événement : deux machines ont fait leur première apparition sur un salon en France. Le nouveau </w:t>
      </w:r>
      <w:r>
        <w:rPr>
          <w:b/>
          <w:bCs/>
          <w:lang w:val="fr-FR"/>
        </w:rPr>
        <w:t>concasseur à percussion mobile MOBIREX MR 100(i) NEO/</w:t>
      </w:r>
      <w:proofErr w:type="spellStart"/>
      <w:r>
        <w:rPr>
          <w:b/>
          <w:bCs/>
          <w:lang w:val="fr-FR"/>
        </w:rPr>
        <w:t>NEOe</w:t>
      </w:r>
      <w:proofErr w:type="spellEnd"/>
      <w:r>
        <w:rPr>
          <w:b/>
          <w:bCs/>
          <w:lang w:val="fr-FR"/>
        </w:rPr>
        <w:t xml:space="preserve"> von Kleemann </w:t>
      </w:r>
      <w:r>
        <w:rPr>
          <w:lang w:val="fr-FR"/>
        </w:rPr>
        <w:t xml:space="preserve">a suscité beaucoup d’attention. La machine est efficace, puissante et extrêmement souple d'utilisation. Dans le modèle </w:t>
      </w:r>
      <w:proofErr w:type="spellStart"/>
      <w:r>
        <w:rPr>
          <w:lang w:val="fr-FR"/>
        </w:rPr>
        <w:t>NEOe</w:t>
      </w:r>
      <w:proofErr w:type="spellEnd"/>
      <w:r>
        <w:rPr>
          <w:lang w:val="fr-FR"/>
        </w:rPr>
        <w:t xml:space="preserve">, le concasseur à percussion mobile peut fonctionner de manière entièrement électrique. </w:t>
      </w:r>
    </w:p>
    <w:p w14:paraId="569A0F3D" w14:textId="4B57D659" w:rsidR="00AD2DFB" w:rsidRPr="00E67D8E" w:rsidRDefault="00AD2DFB" w:rsidP="00AD2DFB">
      <w:pPr>
        <w:pStyle w:val="Standardabsatz"/>
        <w:rPr>
          <w:lang w:val="fr-FR"/>
        </w:rPr>
      </w:pPr>
      <w:r>
        <w:rPr>
          <w:lang w:val="fr-FR"/>
        </w:rPr>
        <w:t xml:space="preserve">Avec le </w:t>
      </w:r>
      <w:r>
        <w:rPr>
          <w:b/>
          <w:bCs/>
          <w:lang w:val="fr-FR"/>
        </w:rPr>
        <w:t xml:space="preserve">finisseur de routes </w:t>
      </w:r>
      <w:proofErr w:type="spellStart"/>
      <w:r>
        <w:rPr>
          <w:b/>
          <w:bCs/>
          <w:lang w:val="fr-FR"/>
        </w:rPr>
        <w:t>Vögele</w:t>
      </w:r>
      <w:proofErr w:type="spellEnd"/>
      <w:r>
        <w:rPr>
          <w:b/>
          <w:bCs/>
          <w:lang w:val="fr-FR"/>
        </w:rPr>
        <w:t xml:space="preserve"> SUPER 1900-5(i)</w:t>
      </w:r>
      <w:r>
        <w:rPr>
          <w:lang w:val="fr-FR"/>
        </w:rPr>
        <w:t xml:space="preserve">, les entreprises de travaux publics sont parés pour l’avenir. Avec un système innovant, flexible et modulable qui est axé non seulement sur la simplicité d’utilisation et l’automatisation des processus, mais aussi sur la rentabilité et la durabilité. </w:t>
      </w:r>
    </w:p>
    <w:p w14:paraId="6F478BE5" w14:textId="4DD35F11" w:rsidR="00AD2DFB" w:rsidRPr="00E67D8E" w:rsidRDefault="00AD2DFB" w:rsidP="00AD2DFB">
      <w:pPr>
        <w:pStyle w:val="Standardabsatz"/>
        <w:spacing w:after="0"/>
        <w:rPr>
          <w:lang w:val="pt-BR"/>
        </w:rPr>
      </w:pPr>
      <w:r>
        <w:rPr>
          <w:lang w:val="fr-FR"/>
        </w:rPr>
        <w:t>La nouvelle</w:t>
      </w:r>
      <w:r>
        <w:rPr>
          <w:b/>
          <w:bCs/>
          <w:lang w:val="fr-FR"/>
        </w:rPr>
        <w:t xml:space="preserve"> fraiseuse compacte W 150 Fi de Wirtgen</w:t>
      </w:r>
      <w:r>
        <w:rPr>
          <w:lang w:val="fr-FR"/>
        </w:rPr>
        <w:t xml:space="preserve"> a aussi compté parmi les temps forts d’</w:t>
      </w:r>
      <w:proofErr w:type="spellStart"/>
      <w:r>
        <w:rPr>
          <w:lang w:val="fr-FR"/>
        </w:rPr>
        <w:t>Intermat</w:t>
      </w:r>
      <w:proofErr w:type="spellEnd"/>
      <w:r>
        <w:rPr>
          <w:lang w:val="fr-FR"/>
        </w:rPr>
        <w:t>. Dotée d’une largeur de fraisage allant jusqu’à 1,80 m, elle est particulièrement adaptée aux grands chantiers exigus, comme en centre-ville. Les systèmes numériques d’assistance et de nivellement contribuent entres autres à accroître les capacités de fraisage tout en réduisant la consommation de carburant.</w:t>
      </w:r>
    </w:p>
    <w:p w14:paraId="26CED03F" w14:textId="77777777" w:rsidR="00AD2DFB" w:rsidRPr="00E67D8E" w:rsidRDefault="00AD2DFB" w:rsidP="00AD2DFB">
      <w:pPr>
        <w:pStyle w:val="Standardabsatz"/>
        <w:spacing w:after="0"/>
        <w:rPr>
          <w:lang w:val="pt-BR"/>
        </w:rPr>
      </w:pPr>
    </w:p>
    <w:p w14:paraId="15E1C944" w14:textId="5E686552" w:rsidR="00AD2DFB" w:rsidRPr="00E67D8E" w:rsidRDefault="00AD2DFB" w:rsidP="00AD2DFB">
      <w:pPr>
        <w:pStyle w:val="Standardabsatz"/>
        <w:rPr>
          <w:lang w:val="fr-FR"/>
        </w:rPr>
      </w:pPr>
      <w:r>
        <w:rPr>
          <w:lang w:val="fr-FR"/>
        </w:rPr>
        <w:t xml:space="preserve">La production d’enrobé est le principal levier de durabilité dans la construction routière de demain. En la matière, le </w:t>
      </w:r>
      <w:r>
        <w:rPr>
          <w:b/>
          <w:bCs/>
          <w:lang w:val="fr-FR"/>
        </w:rPr>
        <w:t xml:space="preserve">système de </w:t>
      </w:r>
      <w:proofErr w:type="spellStart"/>
      <w:r>
        <w:rPr>
          <w:b/>
          <w:bCs/>
          <w:lang w:val="fr-FR"/>
        </w:rPr>
        <w:t>Benninghoven</w:t>
      </w:r>
      <w:proofErr w:type="spellEnd"/>
      <w:r>
        <w:rPr>
          <w:b/>
          <w:bCs/>
          <w:lang w:val="fr-FR"/>
        </w:rPr>
        <w:t xml:space="preserve"> fonctionnant à 100 % à l’hydrogène</w:t>
      </w:r>
      <w:r>
        <w:rPr>
          <w:lang w:val="fr-FR"/>
        </w:rPr>
        <w:t xml:space="preserve"> possède le plus grand potentiel. Le stand sur lequel la toute dernière génération de brûleurs était présentée a donc attiré en nombre les producteurs d’enrobé.</w:t>
      </w:r>
    </w:p>
    <w:p w14:paraId="092C8981" w14:textId="77777777" w:rsidR="00DF7ED0" w:rsidRDefault="00DF7ED0">
      <w:pPr>
        <w:rPr>
          <w:rFonts w:eastAsiaTheme="minorHAnsi" w:cstheme="minorBidi"/>
          <w:b/>
          <w:bCs/>
          <w:sz w:val="22"/>
          <w:szCs w:val="24"/>
          <w:lang w:val="fr-FR"/>
        </w:rPr>
      </w:pPr>
      <w:r>
        <w:rPr>
          <w:bCs/>
          <w:lang w:val="fr-FR"/>
        </w:rPr>
        <w:br w:type="page"/>
      </w:r>
    </w:p>
    <w:p w14:paraId="31412CCB" w14:textId="73045B39" w:rsidR="00E15EBE" w:rsidRDefault="00E15EBE" w:rsidP="00E15EBE">
      <w:pPr>
        <w:pStyle w:val="Fotos"/>
        <w:rPr>
          <w:bCs/>
          <w:lang w:val="fr-FR"/>
        </w:rPr>
      </w:pPr>
      <w:r>
        <w:rPr>
          <w:bCs/>
          <w:lang w:val="fr-FR"/>
        </w:rPr>
        <w:lastRenderedPageBreak/>
        <w:t>Photos :</w:t>
      </w:r>
    </w:p>
    <w:p w14:paraId="007DA761" w14:textId="77777777" w:rsidR="007E7638" w:rsidRDefault="007E7638" w:rsidP="00485436">
      <w:pPr>
        <w:pStyle w:val="Fotos"/>
        <w:spacing w:after="0"/>
        <w:rPr>
          <w:sz w:val="20"/>
          <w:szCs w:val="20"/>
          <w:lang w:val="en-US"/>
        </w:rPr>
      </w:pPr>
      <w:r w:rsidRPr="00D23E57">
        <w:rPr>
          <w:noProof/>
          <w:lang w:val="en-GB" w:eastAsia="en-GB"/>
        </w:rPr>
        <w:drawing>
          <wp:inline distT="0" distB="0" distL="0" distR="0" wp14:anchorId="6F8AE709" wp14:editId="3ECE4A51">
            <wp:extent cx="2404800" cy="1688969"/>
            <wp:effectExtent l="0" t="0" r="0" b="698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404800" cy="1688969"/>
                    </a:xfrm>
                    <a:prstGeom prst="rect">
                      <a:avLst/>
                    </a:prstGeom>
                    <a:noFill/>
                    <a:ln>
                      <a:noFill/>
                    </a:ln>
                  </pic:spPr>
                </pic:pic>
              </a:graphicData>
            </a:graphic>
          </wp:inline>
        </w:drawing>
      </w:r>
      <w:r w:rsidRPr="00CD16E4">
        <w:rPr>
          <w:lang w:val="en-US"/>
        </w:rPr>
        <w:br/>
      </w:r>
      <w:r w:rsidRPr="00CD16E4">
        <w:rPr>
          <w:sz w:val="20"/>
          <w:szCs w:val="20"/>
          <w:lang w:val="en-US"/>
        </w:rPr>
        <w:t xml:space="preserve">Wirtgen Group at </w:t>
      </w:r>
      <w:proofErr w:type="spellStart"/>
      <w:r w:rsidRPr="00CD16E4">
        <w:rPr>
          <w:sz w:val="20"/>
          <w:szCs w:val="20"/>
          <w:lang w:val="en-US"/>
        </w:rPr>
        <w:t>Intermat</w:t>
      </w:r>
      <w:proofErr w:type="spellEnd"/>
      <w:r w:rsidRPr="00CD16E4">
        <w:rPr>
          <w:sz w:val="20"/>
          <w:szCs w:val="20"/>
          <w:lang w:val="en-US"/>
        </w:rPr>
        <w:t xml:space="preserve"> 2024</w:t>
      </w:r>
    </w:p>
    <w:p w14:paraId="3132DF39" w14:textId="3A93D8EA" w:rsidR="00485436" w:rsidRDefault="00485436" w:rsidP="00485436">
      <w:pPr>
        <w:pStyle w:val="Fotos"/>
        <w:spacing w:after="0"/>
        <w:rPr>
          <w:b w:val="0"/>
          <w:bCs/>
          <w:lang w:val="en-US"/>
        </w:rPr>
      </w:pPr>
      <w:r w:rsidRPr="00485436">
        <w:rPr>
          <w:b w:val="0"/>
          <w:bCs/>
          <w:lang w:val="en-US"/>
        </w:rPr>
        <w:t xml:space="preserve">« </w:t>
      </w:r>
      <w:proofErr w:type="spellStart"/>
      <w:r w:rsidRPr="00485436">
        <w:rPr>
          <w:b w:val="0"/>
          <w:bCs/>
          <w:lang w:val="en-US"/>
        </w:rPr>
        <w:t>L’expérience</w:t>
      </w:r>
      <w:proofErr w:type="spellEnd"/>
      <w:r w:rsidRPr="00485436">
        <w:rPr>
          <w:b w:val="0"/>
          <w:bCs/>
          <w:lang w:val="en-US"/>
        </w:rPr>
        <w:t xml:space="preserve"> des </w:t>
      </w:r>
      <w:proofErr w:type="spellStart"/>
      <w:r w:rsidRPr="00485436">
        <w:rPr>
          <w:b w:val="0"/>
          <w:bCs/>
          <w:lang w:val="en-US"/>
        </w:rPr>
        <w:t>visiteurs</w:t>
      </w:r>
      <w:proofErr w:type="spellEnd"/>
      <w:r w:rsidRPr="00485436">
        <w:rPr>
          <w:b w:val="0"/>
          <w:bCs/>
          <w:lang w:val="en-US"/>
        </w:rPr>
        <w:t xml:space="preserve"> et </w:t>
      </w:r>
      <w:proofErr w:type="spellStart"/>
      <w:r w:rsidRPr="00485436">
        <w:rPr>
          <w:b w:val="0"/>
          <w:bCs/>
          <w:lang w:val="en-US"/>
        </w:rPr>
        <w:t>l’intérêt</w:t>
      </w:r>
      <w:proofErr w:type="spellEnd"/>
      <w:r w:rsidRPr="00485436">
        <w:rPr>
          <w:b w:val="0"/>
          <w:bCs/>
          <w:lang w:val="en-US"/>
        </w:rPr>
        <w:t xml:space="preserve"> </w:t>
      </w:r>
      <w:proofErr w:type="spellStart"/>
      <w:r w:rsidRPr="00485436">
        <w:rPr>
          <w:b w:val="0"/>
          <w:bCs/>
          <w:lang w:val="en-US"/>
        </w:rPr>
        <w:t>porté</w:t>
      </w:r>
      <w:proofErr w:type="spellEnd"/>
      <w:r w:rsidRPr="00485436">
        <w:rPr>
          <w:b w:val="0"/>
          <w:bCs/>
          <w:lang w:val="en-US"/>
        </w:rPr>
        <w:t xml:space="preserve"> aux innovations durables du Wirtgen Group </w:t>
      </w:r>
      <w:proofErr w:type="spellStart"/>
      <w:r w:rsidRPr="00485436">
        <w:rPr>
          <w:b w:val="0"/>
          <w:bCs/>
          <w:lang w:val="en-US"/>
        </w:rPr>
        <w:t>étaient</w:t>
      </w:r>
      <w:proofErr w:type="spellEnd"/>
      <w:r w:rsidRPr="00485436">
        <w:rPr>
          <w:b w:val="0"/>
          <w:bCs/>
          <w:lang w:val="en-US"/>
        </w:rPr>
        <w:t xml:space="preserve"> tout </w:t>
      </w:r>
      <w:proofErr w:type="spellStart"/>
      <w:r w:rsidRPr="00485436">
        <w:rPr>
          <w:b w:val="0"/>
          <w:bCs/>
          <w:lang w:val="en-US"/>
        </w:rPr>
        <w:t>simplement</w:t>
      </w:r>
      <w:proofErr w:type="spellEnd"/>
      <w:r w:rsidRPr="00485436">
        <w:rPr>
          <w:b w:val="0"/>
          <w:bCs/>
          <w:lang w:val="en-US"/>
        </w:rPr>
        <w:t xml:space="preserve"> </w:t>
      </w:r>
      <w:proofErr w:type="spellStart"/>
      <w:r w:rsidRPr="00485436">
        <w:rPr>
          <w:b w:val="0"/>
          <w:bCs/>
          <w:lang w:val="en-US"/>
        </w:rPr>
        <w:t>remarquables</w:t>
      </w:r>
      <w:proofErr w:type="spellEnd"/>
      <w:r w:rsidRPr="00485436">
        <w:rPr>
          <w:b w:val="0"/>
          <w:bCs/>
          <w:lang w:val="en-US"/>
        </w:rPr>
        <w:t>.</w:t>
      </w:r>
      <w:r>
        <w:rPr>
          <w:b w:val="0"/>
          <w:bCs/>
          <w:lang w:val="en-US"/>
        </w:rPr>
        <w:t xml:space="preserve"> </w:t>
      </w:r>
      <w:r w:rsidRPr="00485436">
        <w:rPr>
          <w:b w:val="0"/>
          <w:bCs/>
          <w:lang w:val="en-US"/>
        </w:rPr>
        <w:t>»</w:t>
      </w:r>
      <w:r w:rsidR="000E71B6">
        <w:rPr>
          <w:b w:val="0"/>
          <w:bCs/>
          <w:lang w:val="en-US"/>
        </w:rPr>
        <w:t xml:space="preserve"> </w:t>
      </w:r>
      <w:r w:rsidR="000E71B6" w:rsidRPr="000E71B6">
        <w:rPr>
          <w:b w:val="0"/>
          <w:bCs/>
          <w:lang w:val="en-US"/>
        </w:rPr>
        <w:t xml:space="preserve">Antoine Mayolle, Directeur </w:t>
      </w:r>
      <w:proofErr w:type="spellStart"/>
      <w:r w:rsidR="000E71B6">
        <w:rPr>
          <w:b w:val="0"/>
          <w:bCs/>
          <w:lang w:val="en-US"/>
        </w:rPr>
        <w:t>g</w:t>
      </w:r>
      <w:r w:rsidR="000E71B6" w:rsidRPr="000E71B6">
        <w:rPr>
          <w:b w:val="0"/>
          <w:bCs/>
          <w:lang w:val="en-US"/>
        </w:rPr>
        <w:t>énéral</w:t>
      </w:r>
      <w:proofErr w:type="spellEnd"/>
      <w:r w:rsidR="000E71B6">
        <w:rPr>
          <w:b w:val="0"/>
          <w:bCs/>
          <w:lang w:val="en-US"/>
        </w:rPr>
        <w:t xml:space="preserve"> </w:t>
      </w:r>
      <w:r w:rsidR="000E71B6" w:rsidRPr="000E71B6">
        <w:rPr>
          <w:b w:val="0"/>
          <w:bCs/>
          <w:lang w:val="en-US"/>
        </w:rPr>
        <w:t>Wirtgen France</w:t>
      </w:r>
      <w:r w:rsidR="000E71B6">
        <w:rPr>
          <w:b w:val="0"/>
          <w:bCs/>
          <w:lang w:val="en-US"/>
        </w:rPr>
        <w:t>.</w:t>
      </w:r>
    </w:p>
    <w:p w14:paraId="17668847" w14:textId="77777777" w:rsidR="000E71B6" w:rsidRPr="00485436" w:rsidRDefault="000E71B6" w:rsidP="00485436">
      <w:pPr>
        <w:pStyle w:val="Fotos"/>
        <w:spacing w:after="0"/>
        <w:rPr>
          <w:b w:val="0"/>
          <w:bCs/>
          <w:lang w:val="en-US"/>
        </w:rPr>
      </w:pPr>
    </w:p>
    <w:p w14:paraId="20879CE4" w14:textId="0F4CA14D" w:rsidR="002611FE" w:rsidRPr="00E67D8E" w:rsidRDefault="00A46F1E" w:rsidP="002611FE">
      <w:pPr>
        <w:pStyle w:val="BUbold"/>
        <w:rPr>
          <w:lang w:val="pt-BR"/>
        </w:rPr>
      </w:pPr>
      <w:r>
        <w:rPr>
          <w:b w:val="0"/>
          <w:noProof/>
          <w:lang w:val="fr-FR"/>
        </w:rPr>
        <w:drawing>
          <wp:inline distT="0" distB="0" distL="0" distR="0" wp14:anchorId="1B66E54E" wp14:editId="1B3079D2">
            <wp:extent cx="2404800" cy="1701375"/>
            <wp:effectExtent l="0" t="0" r="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404800" cy="1701375"/>
                    </a:xfrm>
                    <a:prstGeom prst="rect">
                      <a:avLst/>
                    </a:prstGeom>
                    <a:noFill/>
                    <a:ln>
                      <a:noFill/>
                    </a:ln>
                  </pic:spPr>
                </pic:pic>
              </a:graphicData>
            </a:graphic>
          </wp:inline>
        </w:drawing>
      </w:r>
      <w:r w:rsidR="00B37B78">
        <w:rPr>
          <w:bCs/>
          <w:lang w:val="fr-FR"/>
        </w:rPr>
        <w:t xml:space="preserve">  </w:t>
      </w:r>
      <w:r w:rsidR="00B37B78">
        <w:rPr>
          <w:b w:val="0"/>
          <w:noProof/>
          <w:lang w:val="es-ES"/>
        </w:rPr>
        <w:drawing>
          <wp:inline distT="0" distB="0" distL="0" distR="0" wp14:anchorId="2E17F197" wp14:editId="679BF5EF">
            <wp:extent cx="2268980" cy="170137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268980" cy="1701375"/>
                    </a:xfrm>
                    <a:prstGeom prst="rect">
                      <a:avLst/>
                    </a:prstGeom>
                    <a:noFill/>
                    <a:ln>
                      <a:noFill/>
                    </a:ln>
                  </pic:spPr>
                </pic:pic>
              </a:graphicData>
            </a:graphic>
          </wp:inline>
        </w:drawing>
      </w:r>
      <w:r>
        <w:rPr>
          <w:b w:val="0"/>
          <w:lang w:val="fr-FR"/>
        </w:rPr>
        <w:br/>
      </w:r>
      <w:r>
        <w:rPr>
          <w:bCs/>
          <w:lang w:val="fr-FR"/>
        </w:rPr>
        <w:t xml:space="preserve">KL_MR 100i NEO </w:t>
      </w:r>
      <w:r w:rsidR="00B37B78">
        <w:rPr>
          <w:bCs/>
          <w:lang w:val="fr-FR"/>
        </w:rPr>
        <w:tab/>
      </w:r>
      <w:r w:rsidR="00B37B78">
        <w:rPr>
          <w:bCs/>
          <w:lang w:val="fr-FR"/>
        </w:rPr>
        <w:tab/>
      </w:r>
      <w:r w:rsidR="00B37B78">
        <w:rPr>
          <w:bCs/>
          <w:lang w:val="fr-FR"/>
        </w:rPr>
        <w:tab/>
        <w:t xml:space="preserve">      </w:t>
      </w:r>
      <w:r w:rsidR="00B37B78">
        <w:rPr>
          <w:bCs/>
          <w:lang w:val="es-ES"/>
        </w:rPr>
        <w:t>KL</w:t>
      </w:r>
      <w:r w:rsidR="00B37B78" w:rsidRPr="00602DE9">
        <w:rPr>
          <w:bCs/>
          <w:lang w:val="es-ES"/>
        </w:rPr>
        <w:t xml:space="preserve">_MR 100i </w:t>
      </w:r>
      <w:proofErr w:type="spellStart"/>
      <w:r w:rsidR="00B37B78" w:rsidRPr="00602DE9">
        <w:rPr>
          <w:bCs/>
          <w:lang w:val="es-ES"/>
        </w:rPr>
        <w:t>NEO_Intermat</w:t>
      </w:r>
      <w:proofErr w:type="spellEnd"/>
      <w:r w:rsidR="00B37B78" w:rsidRPr="00602DE9">
        <w:rPr>
          <w:bCs/>
          <w:lang w:val="es-ES"/>
        </w:rPr>
        <w:t xml:space="preserve"> 2024</w:t>
      </w:r>
    </w:p>
    <w:p w14:paraId="7C7972AD" w14:textId="60A1C575" w:rsidR="00356A6E" w:rsidRPr="00E67D8E" w:rsidRDefault="00356A6E" w:rsidP="00FE3FAF">
      <w:pPr>
        <w:pStyle w:val="BUnormal"/>
        <w:rPr>
          <w:lang w:val="pt-BR"/>
        </w:rPr>
      </w:pPr>
      <w:r>
        <w:rPr>
          <w:lang w:val="fr-FR"/>
        </w:rPr>
        <w:t xml:space="preserve">Le concasseur à percussion mobile MOBIREX MR 100(i) NEO/ </w:t>
      </w:r>
      <w:proofErr w:type="spellStart"/>
      <w:r>
        <w:rPr>
          <w:lang w:val="fr-FR"/>
        </w:rPr>
        <w:t>NEOe</w:t>
      </w:r>
      <w:proofErr w:type="spellEnd"/>
      <w:r>
        <w:rPr>
          <w:lang w:val="fr-FR"/>
        </w:rPr>
        <w:t>, premier membre de la nouvelle famille NEO Line, s'illustre par son efficacité et sa souplesse d'utilisation.</w:t>
      </w:r>
    </w:p>
    <w:p w14:paraId="29E92010" w14:textId="0896ED5D" w:rsidR="00BD25D1" w:rsidRPr="00E67D8E" w:rsidRDefault="00BD25D1" w:rsidP="00BD25D1">
      <w:pPr>
        <w:pStyle w:val="BUbold"/>
        <w:rPr>
          <w:lang w:val="pt-BR"/>
        </w:rPr>
      </w:pPr>
      <w:r>
        <w:rPr>
          <w:b w:val="0"/>
          <w:noProof/>
          <w:lang w:val="fr-FR"/>
        </w:rPr>
        <w:drawing>
          <wp:inline distT="0" distB="0" distL="0" distR="0" wp14:anchorId="7CBAC95B" wp14:editId="681B41B7">
            <wp:extent cx="2404800" cy="1612309"/>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screen">
                      <a:extLst>
                        <a:ext uri="{28A0092B-C50C-407E-A947-70E740481C1C}">
                          <a14:useLocalDpi xmlns:a14="http://schemas.microsoft.com/office/drawing/2010/main"/>
                        </a:ext>
                      </a:extLst>
                    </a:blip>
                    <a:stretch>
                      <a:fillRect/>
                    </a:stretch>
                  </pic:blipFill>
                  <pic:spPr bwMode="auto">
                    <a:xfrm>
                      <a:off x="0" y="0"/>
                      <a:ext cx="2404800" cy="1612309"/>
                    </a:xfrm>
                    <a:prstGeom prst="rect">
                      <a:avLst/>
                    </a:prstGeom>
                    <a:noFill/>
                    <a:ln>
                      <a:noFill/>
                    </a:ln>
                  </pic:spPr>
                </pic:pic>
              </a:graphicData>
            </a:graphic>
          </wp:inline>
        </w:drawing>
      </w:r>
      <w:r w:rsidR="00B37B78">
        <w:rPr>
          <w:bCs/>
          <w:lang w:val="fr-FR"/>
        </w:rPr>
        <w:t xml:space="preserve">  </w:t>
      </w:r>
      <w:r w:rsidR="00B37B78">
        <w:rPr>
          <w:b w:val="0"/>
          <w:noProof/>
          <w:lang w:val="es-ES"/>
        </w:rPr>
        <w:drawing>
          <wp:inline distT="0" distB="0" distL="0" distR="0" wp14:anchorId="04B69555" wp14:editId="6B8B8B6F">
            <wp:extent cx="2248043" cy="1685676"/>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250151" cy="1687256"/>
                    </a:xfrm>
                    <a:prstGeom prst="rect">
                      <a:avLst/>
                    </a:prstGeom>
                    <a:noFill/>
                    <a:ln>
                      <a:noFill/>
                    </a:ln>
                  </pic:spPr>
                </pic:pic>
              </a:graphicData>
            </a:graphic>
          </wp:inline>
        </w:drawing>
      </w:r>
      <w:r>
        <w:rPr>
          <w:b w:val="0"/>
          <w:lang w:val="fr-FR"/>
        </w:rPr>
        <w:br/>
      </w:r>
      <w:r>
        <w:rPr>
          <w:bCs/>
          <w:lang w:val="fr-FR"/>
        </w:rPr>
        <w:t>V_SUPER_1900-5i</w:t>
      </w:r>
      <w:r w:rsidR="00B37B78">
        <w:rPr>
          <w:bCs/>
          <w:lang w:val="fr-FR"/>
        </w:rPr>
        <w:t xml:space="preserve"> </w:t>
      </w:r>
      <w:r w:rsidR="00B37B78">
        <w:rPr>
          <w:bCs/>
          <w:lang w:val="fr-FR"/>
        </w:rPr>
        <w:tab/>
      </w:r>
      <w:r w:rsidR="00B37B78">
        <w:rPr>
          <w:bCs/>
          <w:lang w:val="fr-FR"/>
        </w:rPr>
        <w:tab/>
        <w:t xml:space="preserve">      </w:t>
      </w:r>
      <w:r w:rsidR="00B37B78">
        <w:rPr>
          <w:bCs/>
          <w:lang w:val="es-ES"/>
        </w:rPr>
        <w:t>V</w:t>
      </w:r>
      <w:r w:rsidR="00B37B78" w:rsidRPr="00602DE9">
        <w:rPr>
          <w:bCs/>
          <w:lang w:val="es-ES"/>
        </w:rPr>
        <w:t>_S</w:t>
      </w:r>
      <w:r w:rsidR="00B37B78">
        <w:rPr>
          <w:bCs/>
          <w:lang w:val="es-ES"/>
        </w:rPr>
        <w:t>UPER</w:t>
      </w:r>
      <w:r w:rsidR="00B37B78" w:rsidRPr="00602DE9">
        <w:rPr>
          <w:bCs/>
          <w:lang w:val="es-ES"/>
        </w:rPr>
        <w:t xml:space="preserve"> 1900-5i_Intermat 2024</w:t>
      </w:r>
    </w:p>
    <w:p w14:paraId="217E653D" w14:textId="7FF2FAA3" w:rsidR="007E7638" w:rsidRDefault="009E1FC5" w:rsidP="00530337">
      <w:pPr>
        <w:pStyle w:val="BUnormal"/>
        <w:rPr>
          <w:lang w:val="fr-FR"/>
        </w:rPr>
      </w:pPr>
      <w:r>
        <w:rPr>
          <w:lang w:val="fr-FR"/>
        </w:rPr>
        <w:t>Le puissant finisseur SUPER 1900-5(i) de la Highway Class est conçu pour les travaux sur autoroutes ou d’autres grands projets exigeants.</w:t>
      </w:r>
    </w:p>
    <w:p w14:paraId="27863561" w14:textId="77777777" w:rsidR="007E7638" w:rsidRDefault="007E7638">
      <w:pPr>
        <w:rPr>
          <w:rFonts w:eastAsiaTheme="minorHAnsi" w:cstheme="minorBidi"/>
          <w:color w:val="000000"/>
          <w:sz w:val="20"/>
          <w:szCs w:val="20"/>
          <w:lang w:val="fr-FR"/>
        </w:rPr>
      </w:pPr>
      <w:r>
        <w:rPr>
          <w:lang w:val="fr-FR"/>
        </w:rPr>
        <w:br w:type="page"/>
      </w:r>
    </w:p>
    <w:p w14:paraId="3744B054" w14:textId="26B8B9C4" w:rsidR="00141185" w:rsidRPr="00E67D8E" w:rsidRDefault="00141185" w:rsidP="00141185">
      <w:pPr>
        <w:pStyle w:val="BUbold"/>
        <w:rPr>
          <w:lang w:val="en-US"/>
        </w:rPr>
      </w:pPr>
      <w:r>
        <w:rPr>
          <w:b w:val="0"/>
          <w:noProof/>
          <w:lang w:val="fr-FR"/>
        </w:rPr>
        <w:lastRenderedPageBreak/>
        <w:drawing>
          <wp:inline distT="0" distB="0" distL="0" distR="0" wp14:anchorId="25888CB7" wp14:editId="3C02ABC5">
            <wp:extent cx="2404800" cy="1602392"/>
            <wp:effectExtent l="0" t="0" r="0" b="0"/>
            <wp:docPr id="1853996938" name="Grafik 1853996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996938" name="Grafik 1853996938"/>
                    <pic:cNvPicPr>
                      <a:picLocks noChangeAspect="1" noChangeArrowheads="1"/>
                    </pic:cNvPicPr>
                  </pic:nvPicPr>
                  <pic:blipFill>
                    <a:blip r:embed="rId13" cstate="screen">
                      <a:extLst>
                        <a:ext uri="{28A0092B-C50C-407E-A947-70E740481C1C}">
                          <a14:useLocalDpi xmlns:a14="http://schemas.microsoft.com/office/drawing/2010/main"/>
                        </a:ext>
                      </a:extLst>
                    </a:blip>
                    <a:stretch>
                      <a:fillRect/>
                    </a:stretch>
                  </pic:blipFill>
                  <pic:spPr bwMode="auto">
                    <a:xfrm>
                      <a:off x="0" y="0"/>
                      <a:ext cx="2404800" cy="1602392"/>
                    </a:xfrm>
                    <a:prstGeom prst="rect">
                      <a:avLst/>
                    </a:prstGeom>
                    <a:noFill/>
                    <a:ln>
                      <a:noFill/>
                    </a:ln>
                  </pic:spPr>
                </pic:pic>
              </a:graphicData>
            </a:graphic>
          </wp:inline>
        </w:drawing>
      </w:r>
      <w:r w:rsidR="00B37B78">
        <w:rPr>
          <w:bCs/>
          <w:lang w:val="fr-FR"/>
        </w:rPr>
        <w:t xml:space="preserve">  </w:t>
      </w:r>
      <w:r w:rsidR="00B37B78">
        <w:rPr>
          <w:b w:val="0"/>
          <w:noProof/>
          <w:lang w:val="es-ES"/>
        </w:rPr>
        <w:drawing>
          <wp:inline distT="0" distB="0" distL="0" distR="0" wp14:anchorId="781DE3AF" wp14:editId="2DB4961A">
            <wp:extent cx="2216232" cy="1661823"/>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219212" cy="1664058"/>
                    </a:xfrm>
                    <a:prstGeom prst="rect">
                      <a:avLst/>
                    </a:prstGeom>
                    <a:noFill/>
                    <a:ln>
                      <a:noFill/>
                    </a:ln>
                  </pic:spPr>
                </pic:pic>
              </a:graphicData>
            </a:graphic>
          </wp:inline>
        </w:drawing>
      </w:r>
      <w:r>
        <w:rPr>
          <w:b w:val="0"/>
          <w:lang w:val="fr-FR"/>
        </w:rPr>
        <w:br/>
      </w:r>
      <w:r>
        <w:rPr>
          <w:bCs/>
          <w:lang w:val="fr-FR"/>
        </w:rPr>
        <w:t>W_pic_W150Fi_0015</w:t>
      </w:r>
      <w:r w:rsidR="00B37B78">
        <w:rPr>
          <w:bCs/>
          <w:lang w:val="fr-FR"/>
        </w:rPr>
        <w:t xml:space="preserve">                       </w:t>
      </w:r>
      <w:r w:rsidR="00B37B78" w:rsidRPr="00602DE9">
        <w:rPr>
          <w:bCs/>
          <w:lang w:val="es-ES"/>
        </w:rPr>
        <w:t>W</w:t>
      </w:r>
      <w:r w:rsidR="00B37B78">
        <w:rPr>
          <w:bCs/>
          <w:lang w:val="es-ES"/>
        </w:rPr>
        <w:t>I</w:t>
      </w:r>
      <w:r w:rsidR="00B37B78" w:rsidRPr="00602DE9">
        <w:rPr>
          <w:bCs/>
          <w:lang w:val="es-ES"/>
        </w:rPr>
        <w:t xml:space="preserve">_W 150 </w:t>
      </w:r>
      <w:proofErr w:type="spellStart"/>
      <w:r w:rsidR="00B37B78" w:rsidRPr="00602DE9">
        <w:rPr>
          <w:bCs/>
          <w:lang w:val="es-ES"/>
        </w:rPr>
        <w:t>Fi_Intermat</w:t>
      </w:r>
      <w:proofErr w:type="spellEnd"/>
      <w:r w:rsidR="00B37B78" w:rsidRPr="00602DE9">
        <w:rPr>
          <w:bCs/>
          <w:lang w:val="es-ES"/>
        </w:rPr>
        <w:t xml:space="preserve"> 2024</w:t>
      </w:r>
    </w:p>
    <w:p w14:paraId="2AD3A1F3" w14:textId="175B95F3" w:rsidR="00141185" w:rsidRPr="00E67D8E" w:rsidRDefault="00356A6E" w:rsidP="00141185">
      <w:pPr>
        <w:pStyle w:val="BUnormal"/>
        <w:rPr>
          <w:lang w:val="fr-FR"/>
        </w:rPr>
      </w:pPr>
      <w:r>
        <w:rPr>
          <w:lang w:val="fr-FR"/>
        </w:rPr>
        <w:t xml:space="preserve">La nouvelle fraiseuse compacte W 150 Fi réunit haute productivité et dimensions compactes. Dotée d’une largeur de fraisage allant jusqu’à 1,80 m, elle est particulièrement adaptée aux chantiers exigus. </w:t>
      </w:r>
    </w:p>
    <w:p w14:paraId="1BF255B7" w14:textId="1AA7310C" w:rsidR="00B37B78" w:rsidRDefault="00141185" w:rsidP="00141185">
      <w:pPr>
        <w:pStyle w:val="BUbold"/>
        <w:rPr>
          <w:bCs/>
          <w:lang w:val="fr-FR"/>
        </w:rPr>
      </w:pPr>
      <w:r>
        <w:rPr>
          <w:b w:val="0"/>
          <w:noProof/>
          <w:lang w:val="fr-FR"/>
        </w:rPr>
        <w:drawing>
          <wp:inline distT="0" distB="0" distL="0" distR="0" wp14:anchorId="6D4B6301" wp14:editId="24A07DB1">
            <wp:extent cx="2404800" cy="1354013"/>
            <wp:effectExtent l="0" t="0" r="0" b="5080"/>
            <wp:docPr id="1172957420" name="Grafik 1172957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957420" name="Grafik 1172957420"/>
                    <pic:cNvPicPr>
                      <a:picLocks noChangeAspect="1" noChangeArrowheads="1"/>
                    </pic:cNvPicPr>
                  </pic:nvPicPr>
                  <pic:blipFill>
                    <a:blip r:embed="rId15" cstate="screen">
                      <a:extLst>
                        <a:ext uri="{28A0092B-C50C-407E-A947-70E740481C1C}">
                          <a14:useLocalDpi xmlns:a14="http://schemas.microsoft.com/office/drawing/2010/main"/>
                        </a:ext>
                      </a:extLst>
                    </a:blip>
                    <a:stretch>
                      <a:fillRect/>
                    </a:stretch>
                  </pic:blipFill>
                  <pic:spPr bwMode="auto">
                    <a:xfrm>
                      <a:off x="0" y="0"/>
                      <a:ext cx="2404800" cy="1354013"/>
                    </a:xfrm>
                    <a:prstGeom prst="rect">
                      <a:avLst/>
                    </a:prstGeom>
                    <a:noFill/>
                    <a:ln>
                      <a:noFill/>
                    </a:ln>
                  </pic:spPr>
                </pic:pic>
              </a:graphicData>
            </a:graphic>
          </wp:inline>
        </w:drawing>
      </w:r>
      <w:r w:rsidR="00B37B78">
        <w:rPr>
          <w:bCs/>
          <w:lang w:val="fr-FR"/>
        </w:rPr>
        <w:t xml:space="preserve">  </w:t>
      </w:r>
      <w:r w:rsidR="00B37B78">
        <w:rPr>
          <w:b w:val="0"/>
          <w:noProof/>
          <w:lang w:val="es-ES"/>
        </w:rPr>
        <w:drawing>
          <wp:inline distT="0" distB="0" distL="0" distR="0" wp14:anchorId="10E5D819" wp14:editId="5C9FE78F">
            <wp:extent cx="2109333" cy="1470991"/>
            <wp:effectExtent l="0" t="0" r="571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a:picLocks noChangeAspect="1" noChangeArrowheads="1"/>
                    </pic:cNvPicPr>
                  </pic:nvPicPr>
                  <pic:blipFill>
                    <a:blip r:embed="rId16" cstate="print">
                      <a:extLst>
                        <a:ext uri="{28A0092B-C50C-407E-A947-70E740481C1C}">
                          <a14:useLocalDpi xmlns:a14="http://schemas.microsoft.com/office/drawing/2010/main"/>
                        </a:ext>
                      </a:extLst>
                    </a:blip>
                    <a:stretch>
                      <a:fillRect/>
                    </a:stretch>
                  </pic:blipFill>
                  <pic:spPr bwMode="auto">
                    <a:xfrm>
                      <a:off x="0" y="0"/>
                      <a:ext cx="2111787" cy="1472702"/>
                    </a:xfrm>
                    <a:prstGeom prst="rect">
                      <a:avLst/>
                    </a:prstGeom>
                    <a:noFill/>
                    <a:ln>
                      <a:noFill/>
                    </a:ln>
                  </pic:spPr>
                </pic:pic>
              </a:graphicData>
            </a:graphic>
          </wp:inline>
        </w:drawing>
      </w:r>
      <w:r>
        <w:rPr>
          <w:b w:val="0"/>
          <w:lang w:val="fr-FR"/>
        </w:rPr>
        <w:br/>
      </w:r>
      <w:proofErr w:type="spellStart"/>
      <w:r>
        <w:rPr>
          <w:bCs/>
          <w:lang w:val="fr-FR"/>
        </w:rPr>
        <w:t>BE_photo_Wasserstoffbrenner</w:t>
      </w:r>
      <w:proofErr w:type="spellEnd"/>
      <w:r>
        <w:rPr>
          <w:bCs/>
          <w:lang w:val="fr-FR"/>
        </w:rPr>
        <w:t>_</w:t>
      </w:r>
      <w:r w:rsidR="00B37B78">
        <w:rPr>
          <w:bCs/>
          <w:lang w:val="fr-FR"/>
        </w:rPr>
        <w:t xml:space="preserve">     </w:t>
      </w:r>
      <w:proofErr w:type="spellStart"/>
      <w:r w:rsidR="00B37B78" w:rsidRPr="00602DE9">
        <w:rPr>
          <w:bCs/>
          <w:lang w:val="es-ES"/>
        </w:rPr>
        <w:t>B</w:t>
      </w:r>
      <w:r w:rsidR="00B37B78">
        <w:rPr>
          <w:bCs/>
          <w:lang w:val="es-ES"/>
        </w:rPr>
        <w:t>E_</w:t>
      </w:r>
      <w:r w:rsidR="00B37B78" w:rsidRPr="00602DE9">
        <w:rPr>
          <w:bCs/>
          <w:lang w:val="es-ES"/>
        </w:rPr>
        <w:t>Burner_new</w:t>
      </w:r>
      <w:proofErr w:type="spellEnd"/>
      <w:r w:rsidR="00B37B78" w:rsidRPr="00AC5F13">
        <w:t xml:space="preserve"> </w:t>
      </w:r>
      <w:proofErr w:type="spellStart"/>
      <w:r w:rsidR="00B37B78" w:rsidRPr="00AC5F13">
        <w:rPr>
          <w:bCs/>
          <w:lang w:val="es-ES"/>
        </w:rPr>
        <w:t>generation</w:t>
      </w:r>
      <w:proofErr w:type="spellEnd"/>
      <w:r w:rsidR="00B37B78">
        <w:rPr>
          <w:bCs/>
          <w:lang w:val="es-ES"/>
        </w:rPr>
        <w:t>_</w:t>
      </w:r>
    </w:p>
    <w:p w14:paraId="13F8BEE0" w14:textId="4692CBD4" w:rsidR="00141185" w:rsidRPr="00E67D8E" w:rsidRDefault="00B37B78" w:rsidP="00141185">
      <w:pPr>
        <w:pStyle w:val="BUbold"/>
        <w:rPr>
          <w:lang w:val="fr-FR"/>
        </w:rPr>
      </w:pPr>
      <w:r>
        <w:rPr>
          <w:bCs/>
          <w:lang w:val="fr-FR"/>
        </w:rPr>
        <w:t>0</w:t>
      </w:r>
      <w:r w:rsidR="00141185">
        <w:rPr>
          <w:bCs/>
          <w:lang w:val="fr-FR"/>
        </w:rPr>
        <w:t>02_PR</w:t>
      </w:r>
      <w:r w:rsidRPr="00B37B78">
        <w:rPr>
          <w:bCs/>
          <w:lang w:val="es-ES"/>
        </w:rPr>
        <w:t xml:space="preserve"> </w:t>
      </w:r>
      <w:r>
        <w:rPr>
          <w:bCs/>
          <w:lang w:val="es-ES"/>
        </w:rPr>
        <w:tab/>
      </w:r>
      <w:r>
        <w:rPr>
          <w:bCs/>
          <w:lang w:val="es-ES"/>
        </w:rPr>
        <w:tab/>
      </w:r>
      <w:r>
        <w:rPr>
          <w:bCs/>
          <w:lang w:val="es-ES"/>
        </w:rPr>
        <w:tab/>
      </w:r>
      <w:r>
        <w:rPr>
          <w:bCs/>
          <w:lang w:val="es-ES"/>
        </w:rPr>
        <w:tab/>
        <w:t xml:space="preserve">      </w:t>
      </w:r>
      <w:proofErr w:type="spellStart"/>
      <w:r w:rsidRPr="00602DE9">
        <w:rPr>
          <w:bCs/>
          <w:lang w:val="es-ES"/>
        </w:rPr>
        <w:t>Intermat</w:t>
      </w:r>
      <w:proofErr w:type="spellEnd"/>
      <w:r w:rsidRPr="00602DE9">
        <w:rPr>
          <w:bCs/>
          <w:lang w:val="es-ES"/>
        </w:rPr>
        <w:t xml:space="preserve"> 2024</w:t>
      </w:r>
      <w:r>
        <w:rPr>
          <w:bCs/>
          <w:lang w:val="es-ES"/>
        </w:rPr>
        <w:t xml:space="preserve">       </w:t>
      </w:r>
    </w:p>
    <w:p w14:paraId="60DA9B0D" w14:textId="2952A44C" w:rsidR="00141185" w:rsidRPr="00C23BCD" w:rsidRDefault="006616AF" w:rsidP="003E2F70">
      <w:pPr>
        <w:pStyle w:val="BUnormal"/>
        <w:rPr>
          <w:lang w:val="fr-FR"/>
        </w:rPr>
      </w:pPr>
      <w:r>
        <w:rPr>
          <w:lang w:val="fr-FR"/>
        </w:rPr>
        <w:t xml:space="preserve">Test des prototypes sur le banc d’essais des brûleurs dans l’usine de </w:t>
      </w:r>
      <w:proofErr w:type="spellStart"/>
      <w:r>
        <w:rPr>
          <w:lang w:val="fr-FR"/>
        </w:rPr>
        <w:t>Benninghoven</w:t>
      </w:r>
      <w:proofErr w:type="spellEnd"/>
      <w:r>
        <w:rPr>
          <w:lang w:val="fr-FR"/>
        </w:rPr>
        <w:t>. La nouvelle génération de brûleurs permet d’utiliser jusqu'à quatre combustibles différents.</w:t>
      </w:r>
    </w:p>
    <w:p w14:paraId="04824B2F" w14:textId="08FE9E5E" w:rsidR="00F74540" w:rsidRPr="00E67D8E" w:rsidRDefault="00FE3FAF" w:rsidP="006C0C87">
      <w:pPr>
        <w:pStyle w:val="Note"/>
        <w:rPr>
          <w:lang w:val="fr-FR"/>
        </w:rPr>
      </w:pPr>
      <w:r>
        <w:rPr>
          <w:i w:val="0"/>
          <w:lang w:val="fr-FR"/>
        </w:rPr>
        <w:br/>
      </w:r>
      <w:r>
        <w:rPr>
          <w:iCs/>
          <w:lang w:val="fr-FR"/>
        </w:rPr>
        <w:t xml:space="preserve">Attention : ces photos sont destinées uniquement à une première visualisation. Pour une reproduction dans vos publications, merci d’utiliser les photos en résolution de 300 dpi, que vous pourrez télécharger sur le site web du </w:t>
      </w:r>
      <w:r>
        <w:rPr>
          <w:i w:val="0"/>
          <w:lang w:val="fr-FR"/>
        </w:rPr>
        <w:t>Wirtgen Group</w:t>
      </w:r>
      <w:r>
        <w:rPr>
          <w:iCs/>
          <w:lang w:val="fr-FR"/>
        </w:rPr>
        <w:t>.</w:t>
      </w:r>
    </w:p>
    <w:p w14:paraId="55931FB8" w14:textId="77777777" w:rsidR="00E15EBE" w:rsidRPr="00E67D8E" w:rsidRDefault="00E15EBE" w:rsidP="00E15EBE">
      <w:pPr>
        <w:pStyle w:val="Absatzberschrift"/>
        <w:rPr>
          <w:iCs/>
          <w:lang w:val="pt-BR"/>
        </w:rPr>
      </w:pPr>
      <w:r>
        <w:rPr>
          <w:bCs/>
          <w:lang w:val="fr-FR"/>
        </w:rPr>
        <w:t>VOUS OBTIENDREZ DE PLUS AMPLES INFORMATIONS AUPRÈS DE :</w:t>
      </w:r>
    </w:p>
    <w:p w14:paraId="0834BAC7" w14:textId="77777777" w:rsidR="00E15EBE" w:rsidRPr="00E67D8E" w:rsidRDefault="00E15EBE" w:rsidP="00E15EBE">
      <w:pPr>
        <w:pStyle w:val="Absatzberschrift"/>
        <w:rPr>
          <w:lang w:val="pt-BR"/>
        </w:rPr>
      </w:pPr>
    </w:p>
    <w:p w14:paraId="69EE0B1B" w14:textId="77777777" w:rsidR="00E15EBE" w:rsidRPr="002B783A" w:rsidRDefault="00E15EBE" w:rsidP="00E15EBE">
      <w:pPr>
        <w:pStyle w:val="Absatzberschrift"/>
        <w:rPr>
          <w:b w:val="0"/>
          <w:bCs/>
          <w:szCs w:val="22"/>
        </w:rPr>
      </w:pPr>
      <w:r>
        <w:rPr>
          <w:b w:val="0"/>
          <w:lang w:val="fr-FR"/>
        </w:rPr>
        <w:t>WIRTGEN GROUP</w:t>
      </w:r>
    </w:p>
    <w:p w14:paraId="6C2CE818" w14:textId="77777777" w:rsidR="00E15EBE" w:rsidRDefault="00E15EBE" w:rsidP="00E15EBE">
      <w:pPr>
        <w:pStyle w:val="Fuzeile1"/>
      </w:pPr>
      <w:r>
        <w:rPr>
          <w:bCs w:val="0"/>
          <w:iCs w:val="0"/>
          <w:lang w:val="fr-FR"/>
        </w:rPr>
        <w:t>Public Relations</w:t>
      </w:r>
    </w:p>
    <w:p w14:paraId="11D0C008" w14:textId="77777777" w:rsidR="00E15EBE" w:rsidRDefault="00E15EBE" w:rsidP="00E15EBE">
      <w:pPr>
        <w:pStyle w:val="Fuzeile1"/>
      </w:pPr>
      <w:r>
        <w:rPr>
          <w:bCs w:val="0"/>
          <w:iCs w:val="0"/>
          <w:lang w:val="fr-FR"/>
        </w:rPr>
        <w:t>Reinhard-Wirtgen-</w:t>
      </w:r>
      <w:proofErr w:type="spellStart"/>
      <w:r>
        <w:rPr>
          <w:bCs w:val="0"/>
          <w:iCs w:val="0"/>
          <w:lang w:val="fr-FR"/>
        </w:rPr>
        <w:t>Straße</w:t>
      </w:r>
      <w:proofErr w:type="spellEnd"/>
      <w:r>
        <w:rPr>
          <w:bCs w:val="0"/>
          <w:iCs w:val="0"/>
          <w:lang w:val="fr-FR"/>
        </w:rPr>
        <w:t xml:space="preserve"> 2</w:t>
      </w:r>
    </w:p>
    <w:p w14:paraId="1063A82F" w14:textId="77777777" w:rsidR="00E15EBE" w:rsidRDefault="00E15EBE" w:rsidP="00E15EBE">
      <w:pPr>
        <w:pStyle w:val="Fuzeile1"/>
      </w:pPr>
      <w:r>
        <w:rPr>
          <w:bCs w:val="0"/>
          <w:iCs w:val="0"/>
          <w:lang w:val="fr-FR"/>
        </w:rPr>
        <w:t>53578 Windhagen</w:t>
      </w:r>
    </w:p>
    <w:p w14:paraId="5A37CC2B" w14:textId="77777777" w:rsidR="00E15EBE" w:rsidRDefault="00E15EBE" w:rsidP="00E15EBE">
      <w:pPr>
        <w:pStyle w:val="Fuzeile1"/>
      </w:pPr>
      <w:r>
        <w:rPr>
          <w:bCs w:val="0"/>
          <w:iCs w:val="0"/>
          <w:lang w:val="fr-FR"/>
        </w:rPr>
        <w:t>Allemagne</w:t>
      </w:r>
    </w:p>
    <w:p w14:paraId="29A07732" w14:textId="77777777" w:rsidR="00E15EBE" w:rsidRDefault="00E15EBE" w:rsidP="00E15EBE">
      <w:pPr>
        <w:pStyle w:val="Fuzeile1"/>
      </w:pPr>
    </w:p>
    <w:p w14:paraId="0C099062" w14:textId="5325B463" w:rsidR="00E15EBE" w:rsidRPr="00D068DA" w:rsidRDefault="00E15EBE" w:rsidP="00E15EBE">
      <w:pPr>
        <w:pStyle w:val="Fuzeile1"/>
        <w:rPr>
          <w:rFonts w:ascii="Times New Roman" w:hAnsi="Times New Roman" w:cs="Times New Roman"/>
        </w:rPr>
      </w:pPr>
      <w:r>
        <w:rPr>
          <w:bCs w:val="0"/>
          <w:iCs w:val="0"/>
          <w:lang w:val="fr-FR"/>
        </w:rPr>
        <w:t>Téléphone : +49 (0) 2645 131 – 1966</w:t>
      </w:r>
    </w:p>
    <w:p w14:paraId="65F4C38F" w14:textId="77777777" w:rsidR="00E15EBE" w:rsidRDefault="00E15EBE" w:rsidP="00E15EBE">
      <w:pPr>
        <w:pStyle w:val="Fuzeile1"/>
      </w:pPr>
      <w:r>
        <w:rPr>
          <w:bCs w:val="0"/>
          <w:iCs w:val="0"/>
          <w:lang w:val="fr-FR"/>
        </w:rPr>
        <w:t>Téléfax : +49 (0) 2645 131 – 499</w:t>
      </w:r>
    </w:p>
    <w:p w14:paraId="79FF3B7C" w14:textId="08471E1B" w:rsidR="00E15EBE" w:rsidRDefault="00E15EBE" w:rsidP="00E15EBE">
      <w:pPr>
        <w:pStyle w:val="Fuzeile1"/>
      </w:pPr>
      <w:r>
        <w:rPr>
          <w:bCs w:val="0"/>
          <w:iCs w:val="0"/>
          <w:lang w:val="fr-FR"/>
        </w:rPr>
        <w:t>E-mail : 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fr-FR"/>
        </w:rPr>
        <w:t>www.wirtgen-group.com</w:t>
      </w:r>
    </w:p>
    <w:sectPr w:rsidR="00F048D4" w:rsidRPr="00F74540" w:rsidSect="009C4DDA">
      <w:headerReference w:type="even" r:id="rId17"/>
      <w:headerReference w:type="default" r:id="rId18"/>
      <w:footerReference w:type="even" r:id="rId19"/>
      <w:footerReference w:type="default" r:id="rId20"/>
      <w:headerReference w:type="first" r:id="rId21"/>
      <w:footerReference w:type="first" r:id="rId22"/>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D8359A" w14:textId="77777777" w:rsidR="009C4DDA" w:rsidRDefault="009C4DDA" w:rsidP="00E55534">
      <w:r>
        <w:separator/>
      </w:r>
    </w:p>
  </w:endnote>
  <w:endnote w:type="continuationSeparator" w:id="0">
    <w:p w14:paraId="5CE0D453" w14:textId="77777777" w:rsidR="009C4DDA" w:rsidRDefault="009C4DD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02</w:t>
          </w:r>
          <w:r>
            <w:rPr>
              <w:szCs w:val="20"/>
              <w:lang w:val="fr-FR"/>
            </w:rPr>
            <w:fldChar w:fldCharType="end"/>
          </w:r>
        </w:p>
      </w:tc>
    </w:tr>
  </w:tbl>
  <w:p w14:paraId="7CF7D2C8" w14:textId="77777777" w:rsidR="00533132" w:rsidRDefault="00BD5391">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fr-FR"/>
            </w:rPr>
            <w:t>WIRTGEN</w:t>
          </w:r>
          <w:r>
            <w:rPr>
              <w:rStyle w:val="Hervorhebung"/>
              <w:bCs/>
              <w:iCs w:val="0"/>
              <w:szCs w:val="20"/>
              <w:lang w:val="fr-FR"/>
            </w:rPr>
            <w:t xml:space="preserve"> GmbH</w:t>
          </w:r>
          <w:r>
            <w:rPr>
              <w:szCs w:val="20"/>
              <w:lang w:val="fr-FR"/>
            </w:rPr>
            <w:t xml:space="preserve"> · Reinhard-Wirtgen-</w:t>
          </w:r>
          <w:proofErr w:type="spellStart"/>
          <w:r>
            <w:rPr>
              <w:szCs w:val="20"/>
              <w:lang w:val="fr-FR"/>
            </w:rPr>
            <w:t>Str</w:t>
          </w:r>
          <w:proofErr w:type="spellEnd"/>
          <w:r>
            <w:rPr>
              <w:szCs w:val="20"/>
              <w:lang w:val="fr-FR"/>
            </w:rPr>
            <w:t>. 2 · D-53578 Windhagen · T: +49 26 45 / 131 0</w:t>
          </w:r>
        </w:p>
      </w:tc>
    </w:tr>
  </w:tbl>
  <w:p w14:paraId="732BEB33" w14:textId="77777777" w:rsidR="00533132" w:rsidRDefault="00BD5391">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28E791" w14:textId="77777777" w:rsidR="009C4DDA" w:rsidRDefault="009C4DDA" w:rsidP="00E55534">
      <w:r>
        <w:separator/>
      </w:r>
    </w:p>
  </w:footnote>
  <w:footnote w:type="continuationSeparator" w:id="0">
    <w:p w14:paraId="03A95617" w14:textId="77777777" w:rsidR="009C4DDA" w:rsidRDefault="009C4DD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112E31D4" w:rsidR="005101B4" w:rsidRDefault="00D068DA">
    <w:pPr>
      <w:pStyle w:val="Kopfzeile"/>
    </w:pPr>
    <w:r>
      <w:rPr>
        <w:noProof/>
        <w:lang w:val="fr-FR"/>
      </w:rPr>
      <mc:AlternateContent>
        <mc:Choice Requires="wps">
          <w:drawing>
            <wp:anchor distT="0" distB="0" distL="0" distR="0" simplePos="0" relativeHeight="251662336" behindDoc="0" locked="0" layoutInCell="1" allowOverlap="1" wp14:anchorId="343A5A9F" wp14:editId="5F24BB27">
              <wp:simplePos x="635" y="635"/>
              <wp:positionH relativeFrom="page">
                <wp:align>right</wp:align>
              </wp:positionH>
              <wp:positionV relativeFrom="page">
                <wp:align>top</wp:align>
              </wp:positionV>
              <wp:extent cx="443865" cy="443865"/>
              <wp:effectExtent l="0" t="0" r="0" b="16510"/>
              <wp:wrapNone/>
              <wp:docPr id="13" name="Textfeld 1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575C7F9" w14:textId="3285603E"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43A5A9F" id="_x0000_t202" coordsize="21600,21600" o:spt="202" path="m,l,21600r21600,l21600,xe">
              <v:stroke joinstyle="miter"/>
              <v:path gradientshapeok="t" o:connecttype="rect"/>
            </v:shapetype>
            <v:shape id="Textfeld 13"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2575C7F9" w14:textId="3285603E"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13064367" w:rsidR="00533132" w:rsidRPr="00533132" w:rsidRDefault="00D068DA" w:rsidP="00533132">
    <w:pPr>
      <w:pStyle w:val="Kopfzeile"/>
    </w:pPr>
    <w:r>
      <w:rPr>
        <w:noProof/>
        <w:lang w:val="fr-FR"/>
      </w:rPr>
      <mc:AlternateContent>
        <mc:Choice Requires="wps">
          <w:drawing>
            <wp:anchor distT="0" distB="0" distL="0" distR="0" simplePos="0" relativeHeight="251663360" behindDoc="0" locked="0" layoutInCell="1" allowOverlap="1" wp14:anchorId="72548C19" wp14:editId="124DFFD5">
              <wp:simplePos x="752475" y="447675"/>
              <wp:positionH relativeFrom="page">
                <wp:align>right</wp:align>
              </wp:positionH>
              <wp:positionV relativeFrom="page">
                <wp:align>top</wp:align>
              </wp:positionV>
              <wp:extent cx="443865" cy="443865"/>
              <wp:effectExtent l="0" t="0" r="0" b="16510"/>
              <wp:wrapNone/>
              <wp:docPr id="14" name="Textfeld 14"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D7D62F" w14:textId="66408637"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2548C19" id="_x0000_t202" coordsize="21600,21600" o:spt="202" path="m,l,21600r21600,l21600,xe">
              <v:stroke joinstyle="miter"/>
              <v:path gradientshapeok="t" o:connecttype="rect"/>
            </v:shapetype>
            <v:shape id="Textfeld 14"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textbox style="mso-fit-shape-to-text:t" inset="0,15pt,20pt,0">
                <w:txbxContent>
                  <w:p w14:paraId="0FD7D62F" w14:textId="66408637"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anchorx="page" anchory="page"/>
            </v:shape>
          </w:pict>
        </mc:Fallback>
      </mc:AlternateContent>
    </w:r>
    <w:r>
      <w:rPr>
        <w:noProof/>
        <w:lang w:val="fr-F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èle de communiqué de p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7F84759F" w:rsidR="00533132" w:rsidRDefault="00D068DA">
    <w:pPr>
      <w:pStyle w:val="Kopfzeile"/>
    </w:pPr>
    <w:r>
      <w:rPr>
        <w:noProof/>
        <w:lang w:val="fr-FR"/>
      </w:rPr>
      <mc:AlternateContent>
        <mc:Choice Requires="wps">
          <w:drawing>
            <wp:anchor distT="0" distB="0" distL="0" distR="0" simplePos="0" relativeHeight="251661312" behindDoc="0" locked="0" layoutInCell="1" allowOverlap="1" wp14:anchorId="17A14A7A" wp14:editId="60A9E839">
              <wp:simplePos x="635" y="635"/>
              <wp:positionH relativeFrom="page">
                <wp:align>right</wp:align>
              </wp:positionH>
              <wp:positionV relativeFrom="page">
                <wp:align>top</wp:align>
              </wp:positionV>
              <wp:extent cx="443865" cy="443865"/>
              <wp:effectExtent l="0" t="0" r="0" b="16510"/>
              <wp:wrapNone/>
              <wp:docPr id="11" name="Textfeld 1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80494FC" w14:textId="12D469EE"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7A14A7A" id="_x0000_t202" coordsize="21600,21600" o:spt="202" path="m,l,21600r21600,l21600,xe">
              <v:stroke joinstyle="miter"/>
              <v:path gradientshapeok="t" o:connecttype="rect"/>
            </v:shapetype>
            <v:shape id="Textfeld 11"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textbox style="mso-fit-shape-to-text:t" inset="0,15pt,20pt,0">
                <w:txbxContent>
                  <w:p w14:paraId="680494FC" w14:textId="12D469EE" w:rsidR="00D068DA" w:rsidRPr="00D068DA" w:rsidRDefault="00D068DA" w:rsidP="00D068DA">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anchorx="page" anchory="page"/>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4" type="#_x0000_t75" style="width:1500pt;height:1500pt" o:bullet="t">
        <v:imagedata r:id="rId1" o:title="AZ_04a"/>
      </v:shape>
    </w:pict>
  </w:numPicBullet>
  <w:numPicBullet w:numPicBulletId="1">
    <w:pict>
      <v:shape id="_x0000_i1155"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458182598">
    <w:abstractNumId w:val="8"/>
  </w:num>
  <w:num w:numId="2" w16cid:durableId="1492525827">
    <w:abstractNumId w:val="8"/>
  </w:num>
  <w:num w:numId="3" w16cid:durableId="2007249729">
    <w:abstractNumId w:val="8"/>
  </w:num>
  <w:num w:numId="4" w16cid:durableId="1025403754">
    <w:abstractNumId w:val="8"/>
  </w:num>
  <w:num w:numId="5" w16cid:durableId="1613779513">
    <w:abstractNumId w:val="8"/>
  </w:num>
  <w:num w:numId="6" w16cid:durableId="710422655">
    <w:abstractNumId w:val="2"/>
  </w:num>
  <w:num w:numId="7" w16cid:durableId="882448128">
    <w:abstractNumId w:val="2"/>
  </w:num>
  <w:num w:numId="8" w16cid:durableId="1425422378">
    <w:abstractNumId w:val="2"/>
  </w:num>
  <w:num w:numId="9" w16cid:durableId="362096175">
    <w:abstractNumId w:val="2"/>
  </w:num>
  <w:num w:numId="10" w16cid:durableId="1731070753">
    <w:abstractNumId w:val="2"/>
  </w:num>
  <w:num w:numId="11" w16cid:durableId="579952233">
    <w:abstractNumId w:val="5"/>
  </w:num>
  <w:num w:numId="12" w16cid:durableId="425426102">
    <w:abstractNumId w:val="5"/>
  </w:num>
  <w:num w:numId="13" w16cid:durableId="331497492">
    <w:abstractNumId w:val="4"/>
  </w:num>
  <w:num w:numId="14" w16cid:durableId="1653414422">
    <w:abstractNumId w:val="4"/>
  </w:num>
  <w:num w:numId="15" w16cid:durableId="148986430">
    <w:abstractNumId w:val="4"/>
  </w:num>
  <w:num w:numId="16" w16cid:durableId="896236859">
    <w:abstractNumId w:val="4"/>
  </w:num>
  <w:num w:numId="17" w16cid:durableId="1589265960">
    <w:abstractNumId w:val="4"/>
  </w:num>
  <w:num w:numId="18" w16cid:durableId="410666619">
    <w:abstractNumId w:val="1"/>
  </w:num>
  <w:num w:numId="19" w16cid:durableId="649484911">
    <w:abstractNumId w:val="3"/>
  </w:num>
  <w:num w:numId="20" w16cid:durableId="1653172749">
    <w:abstractNumId w:val="7"/>
  </w:num>
  <w:num w:numId="21" w16cid:durableId="125477654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698169715">
    <w:abstractNumId w:val="0"/>
  </w:num>
  <w:num w:numId="23" w16cid:durableId="19655049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4380389">
    <w:abstractNumId w:val="6"/>
  </w:num>
  <w:num w:numId="25" w16cid:durableId="45379235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9665C"/>
    <w:rsid w:val="000A0479"/>
    <w:rsid w:val="000A36D9"/>
    <w:rsid w:val="000A4C7D"/>
    <w:rsid w:val="000A695B"/>
    <w:rsid w:val="000B582B"/>
    <w:rsid w:val="000D15C3"/>
    <w:rsid w:val="000E24F8"/>
    <w:rsid w:val="000E5738"/>
    <w:rsid w:val="000E71B6"/>
    <w:rsid w:val="00103205"/>
    <w:rsid w:val="00115C1E"/>
    <w:rsid w:val="0011795C"/>
    <w:rsid w:val="0012026F"/>
    <w:rsid w:val="00130601"/>
    <w:rsid w:val="00132055"/>
    <w:rsid w:val="00141185"/>
    <w:rsid w:val="00146C3D"/>
    <w:rsid w:val="00153B47"/>
    <w:rsid w:val="001613A6"/>
    <w:rsid w:val="001614F0"/>
    <w:rsid w:val="001616F4"/>
    <w:rsid w:val="00175DD9"/>
    <w:rsid w:val="0018021A"/>
    <w:rsid w:val="00186D0E"/>
    <w:rsid w:val="00194FB1"/>
    <w:rsid w:val="001B16BB"/>
    <w:rsid w:val="001B34EE"/>
    <w:rsid w:val="001C1A3E"/>
    <w:rsid w:val="00200355"/>
    <w:rsid w:val="0021351D"/>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56A6E"/>
    <w:rsid w:val="0036561D"/>
    <w:rsid w:val="003665BE"/>
    <w:rsid w:val="00384A08"/>
    <w:rsid w:val="00387E6F"/>
    <w:rsid w:val="003967E5"/>
    <w:rsid w:val="003A753A"/>
    <w:rsid w:val="003B3803"/>
    <w:rsid w:val="003C2A71"/>
    <w:rsid w:val="003E1CB6"/>
    <w:rsid w:val="003E2F70"/>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5436"/>
    <w:rsid w:val="00487BFC"/>
    <w:rsid w:val="00493495"/>
    <w:rsid w:val="004A463B"/>
    <w:rsid w:val="004C1967"/>
    <w:rsid w:val="004D23D0"/>
    <w:rsid w:val="004D2BE0"/>
    <w:rsid w:val="004E6EF5"/>
    <w:rsid w:val="00506409"/>
    <w:rsid w:val="005101B4"/>
    <w:rsid w:val="00530337"/>
    <w:rsid w:val="00530E32"/>
    <w:rsid w:val="00533132"/>
    <w:rsid w:val="0053699C"/>
    <w:rsid w:val="00537210"/>
    <w:rsid w:val="005649F4"/>
    <w:rsid w:val="005710C8"/>
    <w:rsid w:val="005711A3"/>
    <w:rsid w:val="00571A5C"/>
    <w:rsid w:val="00573B2B"/>
    <w:rsid w:val="005776E9"/>
    <w:rsid w:val="00587AD9"/>
    <w:rsid w:val="005909A8"/>
    <w:rsid w:val="005A4F04"/>
    <w:rsid w:val="005A631C"/>
    <w:rsid w:val="005B5793"/>
    <w:rsid w:val="005C6B30"/>
    <w:rsid w:val="005C71EC"/>
    <w:rsid w:val="005E764C"/>
    <w:rsid w:val="005E7F7D"/>
    <w:rsid w:val="006063D4"/>
    <w:rsid w:val="00623B37"/>
    <w:rsid w:val="006330A2"/>
    <w:rsid w:val="00642EB6"/>
    <w:rsid w:val="006433E2"/>
    <w:rsid w:val="00651E5D"/>
    <w:rsid w:val="006616AF"/>
    <w:rsid w:val="00677F11"/>
    <w:rsid w:val="00682B1A"/>
    <w:rsid w:val="00690D7C"/>
    <w:rsid w:val="00690DFE"/>
    <w:rsid w:val="006A4546"/>
    <w:rsid w:val="006B3EEC"/>
    <w:rsid w:val="006C0C87"/>
    <w:rsid w:val="006D6CC6"/>
    <w:rsid w:val="006D7EAC"/>
    <w:rsid w:val="006E0104"/>
    <w:rsid w:val="006F7602"/>
    <w:rsid w:val="00701084"/>
    <w:rsid w:val="007056D5"/>
    <w:rsid w:val="00710815"/>
    <w:rsid w:val="00713731"/>
    <w:rsid w:val="00722A17"/>
    <w:rsid w:val="00723F4F"/>
    <w:rsid w:val="0075234C"/>
    <w:rsid w:val="00754B80"/>
    <w:rsid w:val="00755AE0"/>
    <w:rsid w:val="00756FFA"/>
    <w:rsid w:val="0075761B"/>
    <w:rsid w:val="00757B83"/>
    <w:rsid w:val="00765D74"/>
    <w:rsid w:val="00774358"/>
    <w:rsid w:val="00782785"/>
    <w:rsid w:val="00791A69"/>
    <w:rsid w:val="0079462A"/>
    <w:rsid w:val="00794830"/>
    <w:rsid w:val="00797CAA"/>
    <w:rsid w:val="007A2B6F"/>
    <w:rsid w:val="007A6BD2"/>
    <w:rsid w:val="007B1BAF"/>
    <w:rsid w:val="007C2658"/>
    <w:rsid w:val="007D59A2"/>
    <w:rsid w:val="007E20D0"/>
    <w:rsid w:val="007E3DAB"/>
    <w:rsid w:val="007E7638"/>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A401E"/>
    <w:rsid w:val="008C2A29"/>
    <w:rsid w:val="008C2DB2"/>
    <w:rsid w:val="008D2B87"/>
    <w:rsid w:val="008D770E"/>
    <w:rsid w:val="0090337E"/>
    <w:rsid w:val="009049D8"/>
    <w:rsid w:val="00910609"/>
    <w:rsid w:val="00915841"/>
    <w:rsid w:val="009328FA"/>
    <w:rsid w:val="00936916"/>
    <w:rsid w:val="00936A78"/>
    <w:rsid w:val="009375E1"/>
    <w:rsid w:val="009405D6"/>
    <w:rsid w:val="00952853"/>
    <w:rsid w:val="009646E4"/>
    <w:rsid w:val="00977EC3"/>
    <w:rsid w:val="0098631D"/>
    <w:rsid w:val="009867FD"/>
    <w:rsid w:val="009B17A9"/>
    <w:rsid w:val="009B211F"/>
    <w:rsid w:val="009B7C05"/>
    <w:rsid w:val="009C2378"/>
    <w:rsid w:val="009C4DDA"/>
    <w:rsid w:val="009C5A77"/>
    <w:rsid w:val="009C5D99"/>
    <w:rsid w:val="009D016F"/>
    <w:rsid w:val="009E1FC5"/>
    <w:rsid w:val="009E251D"/>
    <w:rsid w:val="009E31FD"/>
    <w:rsid w:val="009E4817"/>
    <w:rsid w:val="009F10A8"/>
    <w:rsid w:val="009F715C"/>
    <w:rsid w:val="00A0216C"/>
    <w:rsid w:val="00A02F49"/>
    <w:rsid w:val="00A171F4"/>
    <w:rsid w:val="00A1772D"/>
    <w:rsid w:val="00A177B2"/>
    <w:rsid w:val="00A24EFC"/>
    <w:rsid w:val="00A27829"/>
    <w:rsid w:val="00A46F1E"/>
    <w:rsid w:val="00A66B3F"/>
    <w:rsid w:val="00A82395"/>
    <w:rsid w:val="00A9295C"/>
    <w:rsid w:val="00A977CE"/>
    <w:rsid w:val="00AA0DF7"/>
    <w:rsid w:val="00AB52F9"/>
    <w:rsid w:val="00AD131F"/>
    <w:rsid w:val="00AD2DFB"/>
    <w:rsid w:val="00AD32D5"/>
    <w:rsid w:val="00AD4F17"/>
    <w:rsid w:val="00AD621D"/>
    <w:rsid w:val="00AD70E4"/>
    <w:rsid w:val="00AF3B3A"/>
    <w:rsid w:val="00AF4E8E"/>
    <w:rsid w:val="00AF6569"/>
    <w:rsid w:val="00B06265"/>
    <w:rsid w:val="00B147A4"/>
    <w:rsid w:val="00B37B78"/>
    <w:rsid w:val="00B5232A"/>
    <w:rsid w:val="00B60ED1"/>
    <w:rsid w:val="00B62CF5"/>
    <w:rsid w:val="00B67A3E"/>
    <w:rsid w:val="00B81574"/>
    <w:rsid w:val="00B85705"/>
    <w:rsid w:val="00B85A0B"/>
    <w:rsid w:val="00B874DC"/>
    <w:rsid w:val="00B90F78"/>
    <w:rsid w:val="00B96D4B"/>
    <w:rsid w:val="00BD1058"/>
    <w:rsid w:val="00BD25D1"/>
    <w:rsid w:val="00BD5391"/>
    <w:rsid w:val="00BD764C"/>
    <w:rsid w:val="00BE16E8"/>
    <w:rsid w:val="00BF56B2"/>
    <w:rsid w:val="00C05079"/>
    <w:rsid w:val="00C055AB"/>
    <w:rsid w:val="00C11F95"/>
    <w:rsid w:val="00C136DF"/>
    <w:rsid w:val="00C17501"/>
    <w:rsid w:val="00C23BCD"/>
    <w:rsid w:val="00C40627"/>
    <w:rsid w:val="00C43EAF"/>
    <w:rsid w:val="00C457C3"/>
    <w:rsid w:val="00C644CA"/>
    <w:rsid w:val="00C658FC"/>
    <w:rsid w:val="00C73005"/>
    <w:rsid w:val="00C84D75"/>
    <w:rsid w:val="00C85E18"/>
    <w:rsid w:val="00C96E9F"/>
    <w:rsid w:val="00CA2E8D"/>
    <w:rsid w:val="00CA4A09"/>
    <w:rsid w:val="00CB71DD"/>
    <w:rsid w:val="00CC5A63"/>
    <w:rsid w:val="00CC787C"/>
    <w:rsid w:val="00CD16E4"/>
    <w:rsid w:val="00CF36C9"/>
    <w:rsid w:val="00D00EC4"/>
    <w:rsid w:val="00D068DA"/>
    <w:rsid w:val="00D166AC"/>
    <w:rsid w:val="00D36BA2"/>
    <w:rsid w:val="00D37CF4"/>
    <w:rsid w:val="00D4487C"/>
    <w:rsid w:val="00D56C57"/>
    <w:rsid w:val="00D63D33"/>
    <w:rsid w:val="00D67428"/>
    <w:rsid w:val="00D73352"/>
    <w:rsid w:val="00D935C3"/>
    <w:rsid w:val="00DA0266"/>
    <w:rsid w:val="00DA477E"/>
    <w:rsid w:val="00DB4BB0"/>
    <w:rsid w:val="00DE461D"/>
    <w:rsid w:val="00DF7ED0"/>
    <w:rsid w:val="00E04039"/>
    <w:rsid w:val="00E10441"/>
    <w:rsid w:val="00E14608"/>
    <w:rsid w:val="00E15EBE"/>
    <w:rsid w:val="00E21E67"/>
    <w:rsid w:val="00E30EBF"/>
    <w:rsid w:val="00E316C0"/>
    <w:rsid w:val="00E31E03"/>
    <w:rsid w:val="00E451CD"/>
    <w:rsid w:val="00E51170"/>
    <w:rsid w:val="00E52D70"/>
    <w:rsid w:val="00E55534"/>
    <w:rsid w:val="00E67D8E"/>
    <w:rsid w:val="00E7116D"/>
    <w:rsid w:val="00E72429"/>
    <w:rsid w:val="00E8428C"/>
    <w:rsid w:val="00E914D1"/>
    <w:rsid w:val="00E960D8"/>
    <w:rsid w:val="00EB5FCA"/>
    <w:rsid w:val="00F048D4"/>
    <w:rsid w:val="00F20920"/>
    <w:rsid w:val="00F23212"/>
    <w:rsid w:val="00F33B16"/>
    <w:rsid w:val="00F353EA"/>
    <w:rsid w:val="00F36C27"/>
    <w:rsid w:val="00F56318"/>
    <w:rsid w:val="00F67C95"/>
    <w:rsid w:val="00F74540"/>
    <w:rsid w:val="00F75B79"/>
    <w:rsid w:val="00F82525"/>
    <w:rsid w:val="00F911CB"/>
    <w:rsid w:val="00F91AC4"/>
    <w:rsid w:val="00F97FEA"/>
    <w:rsid w:val="00FB60E1"/>
    <w:rsid w:val="00FD3768"/>
    <w:rsid w:val="00FD51E9"/>
    <w:rsid w:val="00FE3FAF"/>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710815"/>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_rels/header3.xml.rels><?xml version="1.0" encoding="UTF-8" standalone="yes"?>
<Relationships xmlns="http://schemas.openxmlformats.org/package/2006/relationships"><Relationship Id="rId2" Type="http://schemas.openxmlformats.org/officeDocument/2006/relationships/image" Target="media/image14.wmf"/><Relationship Id="rId1" Type="http://schemas.openxmlformats.org/officeDocument/2006/relationships/image" Target="media/image13.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633</Words>
  <Characters>3500</Characters>
  <Application>Microsoft Office Word</Application>
  <DocSecurity>0</DocSecurity>
  <Lines>83</Lines>
  <Paragraphs>36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4097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5</cp:revision>
  <cp:lastPrinted>2024-04-18T05:32:00Z</cp:lastPrinted>
  <dcterms:created xsi:type="dcterms:W3CDTF">2024-04-29T07:21:00Z</dcterms:created>
  <dcterms:modified xsi:type="dcterms:W3CDTF">2024-04-29T09:29:00Z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b,d,e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2024-04-18T05:43:20Z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a8999eea-4ba0-4440-a234-9dad6b4ec0b6</vt:lpwstr>
  </property>
  <property fmtid="{D5CDD505-2E9C-101B-9397-08002B2CF9AE}" pid="11" name="MSIP_Label_df1a195f-122b-42dc-a2d3-71a1903dcdac_ContentBits">
    <vt:lpwstr>1</vt:lpwstr>
  </property>
</Properties>
</file>